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Онкология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Онкология | Записей: 1 | Кейс: 1 | Вопросов: 12</w:t>
      </w:r>
    </w:p>
    <w:p>
      <w:r>
        <w:br w:type="page"/>
      </w:r>
    </w:p>
    <w:p>
      <w:pPr>
        <w:pStyle w:val="Heading1"/>
      </w:pPr>
      <w:r>
        <w:t>Онкология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19 лет обратился на прием к нейроонкологу в поликлинику онкологического центра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умеренно выраженные головные боли, общую слабость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2016 году установлен диагноз: Остеосаркома левой бедренной кости.                                                                                                         Проведено лечение (в онкологическом центре): хирургическое: (сегментарная резекция, остеосинтез). В предоперационном периоде проведено 3 курса ПХТ (с включением доксорубицина, ифосфамида), в послеоперационном – 5 курсов ПХТ (с включением доксорубицина, ифосфамида).</w:t>
      </w:r>
    </w:p>
    <w:p>
      <w:pPr>
        <w:spacing w:after="58"/>
      </w:pPr>
      <w:r>
        <w:rPr>
          <w:b w:val="0"/>
          <w:i w:val="0"/>
        </w:rPr>
        <w:t>В мае 2018года появились жалобы на головные боли. При КТ-исследовании головного мозга от 02.05.2018 года было обнаружено объемное образование теменно-затылочной области левого полушария головного мозга. Больной направлен в поликлинику онкологического центра.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хронический гастрит</w:t>
        <w:br/>
        <w:t>* вредные привычки: отрицает</w:t>
        <w:br/>
        <w:t>* аллергические реакции на медикаменты отрицает</w:t>
        <w:br/>
        <w:t>* опухолевые заболевания в семье: онкоанамнез не отягощен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относительно удовлетворительное. Индекс Карновского - 70 %. ECOG - 3.  Вес 70 кг, рост 187 см. Температура тела 36,7°С. Кожные покровы чистые, ровные, отеков нет, тургор в норме. Мышечная система: боли и атрофии нет. Кости и суставы: St.localis: область послеоперационного рубца на левом бедре без патологии. Периферические лимфатические узлы не увеличены. Органы дыхания: жалоб нет. Аускультативно: дыхание с жестким оттенком с двух сторон, хрипов нет. ЧДД 14/минуту. Тоны сердца ясные, ритмичные, ЧСС 59/минуту, АД 121/80 мм рт.ст. Живот при пальпации мягкий, безболезненный, патологические образования не пальпируются. Мочеиспускание самостоятельное, безболезненное. Симптом Пастернацкого отрицательный с двух сторон. Стул регулярный, оформленный.</w:t>
      </w:r>
    </w:p>
    <w:p>
      <w:pPr>
        <w:spacing w:after="58"/>
      </w:pPr>
      <w:r>
        <w:rPr>
          <w:b w:val="0"/>
          <w:i w:val="0"/>
        </w:rPr>
        <w:t>_Неврологический статус_: Сознание ясное. Общемозговая симптоматика в виде умеренно выраженных головных болей. Движение глаз: нарушений нет. Конвергенция не нарушена. Аккомодация содружественная справа, содружественная слева. Снижение чувствительности на лице нет.  Гипотрофии жевательных мышц нет.  Боли в лице нет. Функция глотания сохранена. Голос звучный.  Гипотрофии мышц шеи и плечевого пояса нет. Девиации языка нет. Гипестезия справа. Суставно-мышечное чувство сохранено. Двигательные функции не нарушены. Мышечный тонус не изменен. Мозжечковые функции не нарушены. Сухожильные и периостальные рефлексы не изменены, равномерны. Менингиальный симптомы отрицательные.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инструментальным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УЗ-допплерография в импульсном режиме парных сосудов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МРТ головного мозга с контрастным усилением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перфузионная МСКТ головного мозга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ЭЭГ (электроэнцефалограмма)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головного мозга с контрастным усилением</w:t>
      </w:r>
    </w:p>
    <w:p>
      <w:pPr>
        <w:ind w:left="504"/>
      </w:pPr>
      <w:r>
        <w:rPr>
          <w:b w:val="0"/>
          <w:i/>
        </w:rPr>
        <w:t>Для постановки диагноза злокачественного новообразования головного мозга рекомендовано проведение МРТ головного мозга в трёх проекциях в стандартных режимах (Т1, Т2, FLAIR, Т1 + контраст).</w:t>
        <w:br/>
        <w:br/>
        <w:t>Клинические рекомендации Ассоциации нейрохирургов России, Ассоциации онкологов России и Российского общества клинической онкологии: Метастатическое поражение головного мозга (2018 г), раздел 2.4. Инструментальная диагностика.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онкологов России: Метастатическое поражение головного мозга (2018 г)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инструментального метода обследования</w:t>
      </w:r>
    </w:p>
    <w:p>
      <w:pPr>
        <w:pStyle w:val="Heading3"/>
      </w:pPr>
      <w:r>
        <w:t>3.1. МРТ головного мозга с контрастным усилением</w:t>
      </w:r>
    </w:p>
    <w:p>
      <w:pPr>
        <w:spacing w:after="58"/>
      </w:pPr>
      <w:r>
        <w:rPr>
          <w:b w:val="0"/>
          <w:i w:val="0"/>
        </w:rPr>
        <w:t>В теменно-затылочной области левого полушария головного мозга определяется объемное образование 7.1х4.7х7.0 см., с четкими контурами, неоднородной структуры, с выраженным перифокальным отеком, интенсивно и неоднородно накапливающее контрастный препарат.  Смещение срединных структур вправо до 11 мм. Миндалины мозжечка расположены на 2 мм выше линии Чемберлен.</w:t>
      </w:r>
    </w:p>
    <w:p>
      <w:pPr>
        <w:spacing w:after="58"/>
      </w:pPr>
      <w:r>
        <w:rPr>
          <w:b w:val="0"/>
          <w:i w:val="0"/>
        </w:rPr>
        <w:t>*Заключение*: Опухоль левой теменно-затылочной области головного мозга.</w:t>
      </w:r>
    </w:p>
    <w:p>
      <w:r>
        <w:drawing>
          <wp:inline xmlns:a="http://schemas.openxmlformats.org/drawingml/2006/main" xmlns:pic="http://schemas.openxmlformats.org/drawingml/2006/picture">
            <wp:extent cx="5303520" cy="291735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e468673943e2d1939bb63b6a9668b6b5ae083e9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1735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Безымянный135489465.jpg</w:t>
      </w:r>
    </w:p>
    <w:p>
      <w:pPr>
        <w:pStyle w:val="Heading3"/>
      </w:pPr>
      <w:r>
        <w:t>3.4. ЭЭГ (электроэнцефалограмма)</w:t>
      </w:r>
    </w:p>
    <w:p>
      <w:pPr>
        <w:spacing w:after="58"/>
      </w:pPr>
      <w:r>
        <w:rPr>
          <w:b w:val="0"/>
          <w:i w:val="0"/>
        </w:rPr>
        <w:t>Выраженные изменения биоэлектрической активности коры головного мозга с признаками дисфункции срединных структур, снижения порога судорожной готовности с межполушарной асимметрией в теменно-затылочной области за счет очаговой медленноволновой и эпилептиформной активности слева.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Необходимыми для оценки распространенности процесса и постановки диагноза методами исследования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УЗИ органов брюшной полости и малого таза, шейно-надключичных областей и забрюшинного пространства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сцинтиграфия костей скелета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КТ органов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МРТ органов брюшной полости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МРТ опорно-двигательного аппарата с контрастированием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МРТ органов забрюшинного пространства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УЗИ органов брюшной полости и малого таза, шейно-надключичных областей и забрюшинного пространства; сцинтиграфия костей скелета; КТ органов грудной клетки</w:t>
      </w:r>
    </w:p>
    <w:p>
      <w:pPr>
        <w:ind w:left="504"/>
      </w:pPr>
      <w:r>
        <w:rPr>
          <w:b w:val="0"/>
          <w:i/>
        </w:rPr>
        <w:t>Рекомендуется ультразвуковое исследование (УЗИ) органов брюшной полости, забрюшинного пространства, периферических лимфатических узлов для исключения метастазов и патологии.</w:t>
        <w:br/>
        <w:br/>
        <w:t>Практические рекомендации по лечению первичных злокачественных опухолей костей (остеосаркомы, саркомы Юинга) (2018 г.), раздел 2 Диагностика.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Практические рекомендации по лечению первичных злокачественных опухолей костей (остеосаркомы, саркомы Юинга) (2018 г.), раздел 2 Диагностика.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исключения отдаленного метастазирования рекомендуется выполнить рентгенографию грудной клетки в двух проекциях либо КТ органов грудной клетки.</w:t>
        <w:br/>
        <w:br/>
        <w:t>Практические рекомендации по лечению первичных злокачественных опухолей костей (остеосаркомы, саркомы Юинга) (2018 г.), раздел 2 Диагностика.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УЗИ органов брюшной полости и малого таза, шейно-надключичных областей и забрюшинного пространства</w:t>
      </w:r>
    </w:p>
    <w:p>
      <w:pPr>
        <w:spacing w:after="58"/>
      </w:pPr>
      <w:r>
        <w:rPr>
          <w:b w:val="0"/>
          <w:i w:val="0"/>
        </w:rPr>
        <w:t>Печень не увеличена. Контуры ровные, очаговые изменения не определяются. Поджелудочная железа не увеличена, контуры ровные, четкие. Структура однородная, узловые образования не определяются. Селезенка не увеличена, эхогенность не изменена. Свободная жидкость в брюшной полости не определяется. Почки не увеличены, контуры четкие, ровные. Патологические образования не визуализируются.  Патологические образования в малом тазу и свободная жидкость в малом тазу не определяется.</w:t>
      </w:r>
    </w:p>
    <w:p>
      <w:pPr>
        <w:pStyle w:val="Heading3"/>
      </w:pPr>
      <w:r>
        <w:t>5.2. КТ органов грудной клетки</w:t>
      </w:r>
    </w:p>
    <w:p>
      <w:pPr>
        <w:spacing w:after="58"/>
      </w:pPr>
      <w:r>
        <w:rPr>
          <w:b w:val="0"/>
          <w:i w:val="0"/>
        </w:rPr>
        <w:t>В легочной ткани обоих легких отмечаются очаговые тени: +</w:t>
        <w:br/>
        <w:t>а) справа  в S2 два очага, единичный очаг в S4, два очага в S8 и один очаг в S10; +</w:t>
        <w:br/>
        <w:t>б) слева в S6, S8 и S9 два очага до 0.5 см., в S4 и S10 до 0.7 см. +</w:t>
        <w:br/>
        <w:t>По костальной и медиастинальной плевре с обеих сторон визуализируются очаги уплотнения до 0.7 см. Трахея и бронхи проходимы. Жидкости в плевральных полостях нет.</w:t>
      </w:r>
    </w:p>
    <w:p>
      <w:r>
        <w:drawing>
          <wp:inline xmlns:a="http://schemas.openxmlformats.org/drawingml/2006/main" xmlns:pic="http://schemas.openxmlformats.org/drawingml/2006/picture">
            <wp:extent cx="5303520" cy="239513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61f831ed3e66e0d8b911ca61b7cf4c225b60d10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39513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okmnhytgvbhj.jpg</w:t>
      </w:r>
    </w:p>
    <w:p>
      <w:pPr>
        <w:pStyle w:val="Heading3"/>
      </w:pPr>
      <w:r>
        <w:t>5.3. Сцинтиграфия костей скелета</w:t>
      </w:r>
    </w:p>
    <w:p>
      <w:pPr>
        <w:spacing w:after="58"/>
      </w:pPr>
      <w:r>
        <w:rPr>
          <w:b w:val="0"/>
          <w:i w:val="0"/>
        </w:rPr>
        <w:t>Определяются участки повышенного накопления РФП в левой бедренной кости. Участок занимает большой и малый вертелы, межвертельную область и верхнюю треть диафиза. Изменения такого же рода имеются и в правой бедренной кости, распространяясь от латерального и медиального мыщелков и занимая верхнюю треть диафиза.  Кроме того, визуализируется участок гиперфиксации, умеренной интенсивности, расположенный в проекции метастатического поражения головного мозга.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 данного больного на основании анамнеза заболевания и проведенного комплексного обследования можно предположить следующий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Остеосаркома левой бедренной кости. Состояние после комбинированного лечения в 2016 году. Прогрессирование заболевания в 2018 году: метастазы в легких, головном мозге, костях скелета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Метастазы в головном мозге и легких без выявленного первичного  очага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ПМЗО: 1) Остеосаркома левой бедренной кости. Состояние после комбинированного лечения в 2016 году. Прогрессирование в 2018 году: метастазы в легких, костях скелета. 2) Глиобластома левой теменно-затылочной области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ПМЗО: 1) Остеосаркома левой бедренной кости. Состояние после комбинированного лечения в 2016 году. 2) Рак легкого с метастазами в головном мозге, легких, костях скелета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Остеосаркома левой бедренной кости. Состояние после комбинированного лечения в 2016 году. Прогрессирование заболевания в 2018 году: метастазы в легких, головном мозге, костях скелета</w:t>
      </w:r>
    </w:p>
    <w:p>
      <w:pPr>
        <w:ind w:left="504"/>
      </w:pPr>
      <w:r>
        <w:rPr>
          <w:b w:val="0"/>
          <w:i/>
        </w:rPr>
        <w:t>Критерии диагноза:</w:t>
        <w:br/>
        <w:br/>
        <w:t>* Анамнез заболевания: в 2016 году проходил лечение по поводу остеосаркомы левой бедренной кости. В 2018 году выявлены метастазы в головном мозге, легких, костях скелета.</w:t>
        <w:br/>
        <w:t>* Данные комплексного обследования: 1)МРТ головного мозга с контрастным усилением: в левой теменно-затылочной области определяется крупный опухолевый узел неправильной формы, с четкими контурами, неоднородной структуры, с выраженным перифокальным отеком, интенсивно и неоднородно накапливающий контрастный препарат, размерами .</w:t>
        <w:br/>
        <w:t>* 2)КТ органов грудной клетки: в легких определяются множественные метастазы.</w:t>
        <w:br/>
        <w:t>* 3) Сцинтиграфия костей скелета: метастазы в костях скелета.</w:t>
        <w:br/>
        <w:t>* Неврологический дефицит: общемозговая симптоматика в виде умеренно выраженных головных болей.</w:t>
        <w:br/>
        <w:br/>
        <w:t>Практические рекомендации по лечению первичных злокачественных опухолей костей (остеосаркомы, саркомы Юинга) (2018 г.), раздел 2 Диагностика.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Практические рекомендации по лекарственному лечению первичных опухолей центральной нервной системы (2018), раздел Диагностика 2.1.</w:t>
        <w:br/>
        <w:br/>
      </w:r>
      <w:hyperlink r:id="rId18">
        <w:r>
          <w:rPr>
            <w:color w:val="0F766E"/>
            <w:u w:val="single"/>
          </w:rPr>
          <w:t>ПРАКТИЧЕСКИЕ РЕКОМЕНДАЦИИ ПО ЛЕКАРСТВЕННОМУ ЛЕЧЕНИЮ ПЕРВИЧНЫХ ОПУХОЛЕЙ ЦЕНТРАЛЬНОЙ НЕРВНОЙ СИСТЕМЫ, 2020г.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Остеосаркома левой бедренной кости. Состояние после комбинированного лечения в 2016 году. Прогрессирование заболевания в 2018 году: метастазы в легких, головном мозге, костях скелета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Выбором тактики лечения на первом этапе будет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облучение всего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стереотаксическая радиохирургия на область опухоли  теменно-затылочной области слева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хирургическое лечение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стереотаксическая биопсия опухоли теменно-затылочной области слева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хирургическое лечение</w:t>
      </w:r>
    </w:p>
    <w:p>
      <w:pPr>
        <w:ind w:left="504"/>
      </w:pPr>
      <w:r>
        <w:rPr>
          <w:b w:val="0"/>
          <w:i/>
        </w:rPr>
        <w:t>Проведение хирургического лечения рекомендуется при наличии метастатического очага любых размеров, вызывающего прогрессирующую неврологическую симптоматику, включая клиническую картину внутричерепной гипертензии, дислокации срединных структур мозга, обширного перифокального отека, а также при наличии угрозы блокирования ликворных путей.</w:t>
        <w:br/>
        <w:t>Проведение хирургического лечения рекомендуется для установления/уточнения морфологического диагноза.</w:t>
        <w:br/>
        <w:br/>
        <w:t>Клинические рекомендации Ассоциации нейрохирургов России, Ассоциации онкологов России и Российского общества клинической онкологии: Метастатическое поражение головного мозга (2018 г), раздел 3.1. Хирургическое лечение.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онкологов России: Метастатическое поражение головного мозга (2018 г)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Выбор тактики хирургического лечения пациента определяется на основании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заключения ЭЭГ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данных комплексного обследования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офтальмологического осмотра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заключения КТ перфузии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офтальмологического осмотра пациента</w:t>
      </w:r>
    </w:p>
    <w:p>
      <w:pPr>
        <w:ind w:left="504"/>
      </w:pPr>
      <w:r>
        <w:rPr>
          <w:b w:val="0"/>
          <w:i/>
        </w:rPr>
        <w:t>Офтальмологический осмотр необходим для уточнения наличия или</w:t>
        <w:br/>
        <w:t>отсутствия застойных явлений на глазном дне, с целью оценки степени внутричерепной гипертензии.</w:t>
        <w:br/>
        <w:br/>
        <w:t>Клинические рекомендации Ассоциации нейрохирургов России, Ассоциации онкологов России и Российского общества клинической онкологии: Метастатическое поражение головного мозга (2018 г), раздел 2 Диагностика.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онкологов России: Метастатическое поражение головного мозга (2018 г)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 2- м этапе лечения пациенту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иммунотерапии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облучения всего головного мозга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стереотаксической радиохирургии на область церебрального метастаза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лучевой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лучевой терапии</w:t>
      </w:r>
    </w:p>
    <w:p>
      <w:pPr>
        <w:ind w:left="504"/>
      </w:pPr>
      <w:r>
        <w:rPr>
          <w:b w:val="0"/>
          <w:i/>
        </w:rPr>
        <w:t>При одиночном/солитарном очаге максимальным размером &gt;2,5 см показано хирургическое лечение с последующим локальным облучением ложа удаленной опухоли.</w:t>
        <w:br/>
        <w:br/>
        <w:t>Практические рекомендации по лекарственному метастатических опухолей центральной нервной системы (2018), раздел Лечение 4.1.</w:t>
        <w:br/>
        <w:br/>
      </w:r>
      <w:hyperlink r:id="rId18">
        <w:r>
          <w:rPr>
            <w:color w:val="0F766E"/>
            <w:u w:val="single"/>
          </w:rPr>
          <w:t>ПРАКТИЧЕСКИЕ РЕКОМЕНДАЦИИ ПО ЛЕКАРСТВЕННОМУ ЛЕЧЕНИЮ ПЕРВИЧНЫХ ОПУХОЛЕЙ ЦЕНТРАЛЬНОЙ НЕРВНОЙ СИСТЕМЫ, 2020г.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На 3- м этапе лечения пациенту показано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иммунотерапии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гормонотерапии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химиотерапии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таргетной 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химиотерапии</w:t>
      </w:r>
    </w:p>
    <w:p>
      <w:pPr>
        <w:ind w:left="504"/>
      </w:pPr>
      <w:r>
        <w:rPr>
          <w:b w:val="0"/>
          <w:i/>
        </w:rPr>
        <w:t>При лечении метастатических форм используется комбинированная ХТ в сочетании с возможным оперативным лечением. Выбор ХТ II линии зависит от первичного лечения. Чаще всего используются высокие дозы метотрексата, ифосфамид. Использование этопозида не оправдано, так как его эффективность в лечении остеосарком не доказана. При появлении метастазов более, чем через 6 мес. после комплексного лечения возможно повторение ранее использованного режима ХТ. При более раннем прогрессировании следует</w:t>
        <w:br/>
        <w:t>применять другие комбинации цитостатиков.</w:t>
        <w:br/>
        <w:br/>
        <w:t>Практические рекомендации по лечению первичных злокачественных опухолей костей (остеосаркомы, саркомы Юинга) (2018 г.), раздел 3.2. Химиотерапия.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Схемой выбора химиотерапии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этопозид 100 мг / м² в / в в 1‑й, 2‑й, 3‑й дни {plus} Карбоплатин AUC5 в / в в 1‑й день, каждые 3 недели, до 6 курсов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паклитксел-175 мг/м2 внутривенно в 1-й день {plus} Карбоплатин по AUC=5 (500 мг) внутривенно в 1-й день. Курсы ПХТ 1 раз в 3 недели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схема АР: Доксорубицин 90 мг / м2 в / в {plus} Цисплатин 120 мг / м2 в / в или в / а инфузия в 1‑й день, каждые 4 недели.</w:t>
        <w:br/>
        <w:t>Схема HD I: Ифосфамид 2000 мг / м2 в / в в 1–7‑й дни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топотекан 4 мг / м² в / в в 1‑й, 8‑й и 15‑й дни, каждые 4 недели, до</w:t>
        <w:br/>
        <w:t>6 курсов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схема АР: Доксорубицин 90 мг / м2 в / в {plus} Цисплатин 120 мг / м2 в / в или в / а инфузия в 1‑й день, каждые 4 недели.</w:t>
        <w:br/>
        <w:t>Схема HD I: Ифосфамид 2000 мг / м2 в / в в 1–7‑й дни</w:t>
      </w:r>
    </w:p>
    <w:p>
      <w:pPr>
        <w:ind w:left="504"/>
      </w:pPr>
      <w:r>
        <w:rPr>
          <w:b w:val="0"/>
          <w:i/>
        </w:rPr>
        <w:t>Наиболее часто используются доксорубицин, ифосфамид, дакарбазин. Стандартом химиотерапии диссеминированных сарком мягких тканей первой линии является комбинированный режим доксорубицин + ифосфамид. Для пациентов старше 65 лет методом выбора является монотерапия антрациклинами. При общем хорошем состоянии комбинированная химиотерапия предпочтительнее, когда ожидается выраженный эффект со стороны опухоли.</w:t>
        <w:br/>
        <w:br/>
        <w:t>Практические рекомендации по лечению первичных злокачественных опухолей костей (остеосаркомы, саркомы Юинга) (2018 г.), раздел 3.2. Химиотерапия.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Больные остеосаркомой, закончившие этап комбинированного лечения, должны наблюдаться с периодичностью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 месяцев в течение первых 2 лет, далее — 1 раз в 10 месяцев до общей продолжительности 3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 месяцев в течение первых 3 лет, далее — 1 раз в 9 месяцев до общей продолжительности 5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 месяцев в течение первых 5 лет, далее — 1 раз в год до общей продолжительности 7 лет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 месяца в течение первых 2 лет, далее — 1 раз в 6 мес. до общей продолжительности 5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месяца в течение первых 2 лет, далее — 1 раз в 6 мес. до общей продолжительности 5 лет</w:t>
      </w:r>
    </w:p>
    <w:p>
      <w:pPr>
        <w:ind w:left="504"/>
      </w:pPr>
      <w:r>
        <w:rPr>
          <w:b w:val="0"/>
          <w:i/>
        </w:rPr>
        <w:t>Эффективность терапии оценивается каждые 2–3 мес. от начала лечения или раньше в случае появления клинических признаков прогрессирования заболевания.</w:t>
        <w:br/>
        <w:br/>
        <w:t>Практические рекомендации по лечению первичных злокачественных опухолей костей (остеосаркомы, саркомы Юинга) (2018 г.), раздел 4 Наблюдение.</w:t>
        <w:br/>
        <w:br/>
      </w:r>
      <w:hyperlink r:id="rId12">
        <w:r>
          <w:rPr>
            <w:color w:val="0F766E"/>
            <w:u w:val="single"/>
          </w:rPr>
          <w:t>Практические рекомендации по лечению первичных злокачественных опухолей костей (остеосаркомы, саркомы Юинга) (2018 г.)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Рекомендуемым алгоритмом лечебно-диагностических мероприятий при метастатических опухолях ЦНС является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КТ головного мозга с контрастным усилением, ЭЭГ, ПЭТ/КТ всего тела, МТ органов брюшной полости, МР-диффузия всего тела, УЗИ органов забрюшинного пространства, консультация невролога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МРТ головного мозга с контрастным усилением, МР-диффузия всего тела, МРТ опорно-двигательного аппарата, анализы крови на онкомаркеры, консультация невролога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КТ головного мозга с контрастным усилением, МРТ органов брюшной полости, малого таза и забрюшинного пространства, перфузионная МСКТ головного мозга, колоноскопия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МРТ головного мозга с внутривенным контрастированием каждые 3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МРТ головного мозга с внутривенным контрастированием каждые 3 месяца</w:t>
      </w:r>
    </w:p>
    <w:p>
      <w:pPr>
        <w:ind w:left="504"/>
      </w:pPr>
      <w:r>
        <w:rPr>
          <w:b w:val="0"/>
          <w:i/>
        </w:rPr>
        <w:t>Задачей наблюдения является раннее выявление прогрессирования заболевания с целью раннего начала химиотерапии или хирургического лечения резектабельных метастатических очагов, рецидивных опухолей, профилактика ортопедических осложнений.</w:t>
        <w:br/>
        <w:br/>
        <w:t>Практические рекомендации по лекарственному лечению первичных опухолей центральной нервной системы (2020), раздел 5. Профилактика и диспансерное наблюдение</w:t>
        <w:br/>
        <w:br/>
      </w:r>
      <w:hyperlink r:id="rId18">
        <w:r>
          <w:rPr>
            <w:color w:val="0F766E"/>
            <w:u w:val="single"/>
          </w:rPr>
          <w:t>ПРАКТИЧЕСКИЕ РЕКОМЕНДАЦИИ ПО ЛЕКАРСТВЕННОМУ ЛЕЧЕНИЮ ПЕРВИЧНЫХ ОПУХОЛЕЙ ЦЕНТРАЛЬНОЙ НЕРВНОЙ СИСТЕМЫ, 2020г.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Применение остеомодифицирующих агентов с целью купирования болевого синдрома должно начинаться как можно раньше и может сочетаться с одновременным использованием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НПВС, опиоидных и неопиоидных анальгетиков, ГКС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глюкокортикостероидов,  антигистаминных препаратов, противосудорожных препаратов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блокаторов рецепторов допамина: бензамиды (метоклопрамид, итоприд), фенотиазинов (хлорпромазин или аминазин, прометазин, метопемазин), бутирофенонов (дроперидол, галоперидол), бензодиазепинов (диазепам, лоразепам, альпрозолам)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эритропоэзстимулирующих препаратов, НПВС, препаратов</w:t>
        <w:br/>
        <w:t>железа, витаминов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НПВС, опиоидных и неопиоидных анальгетиков, ГКС</w:t>
      </w:r>
    </w:p>
    <w:p>
      <w:pPr>
        <w:ind w:left="504"/>
      </w:pPr>
      <w:r>
        <w:rPr>
          <w:b w:val="0"/>
          <w:i/>
        </w:rPr>
        <w:t>Применение ОМА с целью купирования болевого синдрома должно начинаться как можно раньше и может сочетаться с одновременным использованием ЛТ, НПВС, опиоидных и неопиоидных анальгетиков, ГКС.</w:t>
        <w:br/>
        <w:br/>
        <w:t>Рекомендации по поддерживающей и сопроводительной терапии RUSSCO. Профилактика и лечение патологии костной ткани остеомодифицирующими агентами (2018 г.), раздел 3.3. Общие принципы применения остеомодифицирующих агентов.</w:t>
        <w:br/>
        <w:br/>
      </w:r>
      <w:hyperlink r:id="rId27">
        <w:r>
          <w:rPr>
            <w:color w:val="0F766E"/>
            <w:u w:val="single"/>
          </w:rPr>
          <w:t>ИСПОЛЬЗОВАНИЕ ОСТЕОМОДИФИЦИРУЮЩИХ АГЕНТОВ ДЛЯ ПРОФИЛАКТИКИ И ЛЕЧЕНИЯ ПАТОЛОГИИ КОСТНОЙ ТКАНИ ПРИ ЗЛОКАЧЕСТВЕННЫХ НОВООБРАЗОВАНИЯХ, 2018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процессе лечения золедроновой кислотой требуется контроль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общего анализа крови с определением концентрации гемоглобина, гематокрита, количества эритроцитов и ретикулоцитов, среднего объема эритроцитов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анализа мочи (общий анализ с микроскопией мочевого осадка и определение уровня суточной альбуминурии) и / или инструментальных исследований почек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гематологических показателей, АД и функции щитовидной железы (ТТГ, Т3, Т4)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биохимических показателей (кальция, фосфатов, магния)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биохимических показателей (кальция, фосфатов, магния)</w:t>
      </w:r>
    </w:p>
    <w:p>
      <w:pPr>
        <w:ind w:left="504"/>
      </w:pPr>
      <w:r>
        <w:rPr>
          <w:b w:val="0"/>
          <w:i/>
        </w:rPr>
        <w:t>В процессе лечения золедроновой кислотой требуется контроль биохимических показателей (кальция, фосфатов, магния) с целью коррекции дозы препарата у пациентов с незначительными или умеренными снижениями указанных показателей в крови.</w:t>
        <w:br/>
        <w:br/>
        <w:t>Рекомендации по поддерживающей и сопроводительной терапии RUSSCO. Профилактика и лечение патологии костной ткани остеомодифицирующими агентами (2018 г.), раздел 3.1.2.4. Золедроновая кислота.</w:t>
        <w:br/>
        <w:br/>
      </w:r>
      <w:hyperlink r:id="rId27">
        <w:r>
          <w:rPr>
            <w:color w:val="0F766E"/>
            <w:u w:val="single"/>
          </w:rPr>
          <w:t>ИСПОЛЬЗОВАНИЕ ОСТЕОМОДИФИЦИРУЮЩИХ АГЕНТОВ ДЛЯ ПРОФИЛАКТИКИ И ЛЕЧЕНИЯ ПАТОЛОГИИ КОСТНОЙ ТКАНИ ПРИ ЗЛОКАЧЕСТВЕННЫХ НОВООБРАЗОВАНИЯХ, 2018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metastaticheskoe_porazhenie_golovnogo_mo_42/" TargetMode="External"/><Relationship Id="rId10" Type="http://schemas.openxmlformats.org/officeDocument/2006/relationships/hyperlink" Target="https://library.mededtech.ru/rest/documents/metastaticheskoe_porazhenie_golovnogo_mo_42/#list_item_qbu1r" TargetMode="External"/><Relationship Id="rId11" Type="http://schemas.openxmlformats.org/officeDocument/2006/relationships/image" Target="media/image1.jpg"/><Relationship Id="rId12" Type="http://schemas.openxmlformats.org/officeDocument/2006/relationships/hyperlink" Target="https://library.mededtech.ru/rest/documents/2018-16_16/" TargetMode="External"/><Relationship Id="rId13" Type="http://schemas.openxmlformats.org/officeDocument/2006/relationships/hyperlink" Target="https://library.mededtech.ru/rest/documents/2018-16_16/#list_item_lql1u" TargetMode="External"/><Relationship Id="rId14" Type="http://schemas.openxmlformats.org/officeDocument/2006/relationships/hyperlink" Target="https://library.mededtech.ru/rest/documents/2018-16_16/#list_item_tpvlv" TargetMode="External"/><Relationship Id="rId15" Type="http://schemas.openxmlformats.org/officeDocument/2006/relationships/hyperlink" Target="https://library.mededtech.ru/rest/documents/2018-16_16/#list_item_s78kh" TargetMode="External"/><Relationship Id="rId16" Type="http://schemas.openxmlformats.org/officeDocument/2006/relationships/image" Target="media/image2.jpg"/><Relationship Id="rId17" Type="http://schemas.openxmlformats.org/officeDocument/2006/relationships/hyperlink" Target="https://library.mededtech.ru/rest/documents/2018-16_16/#2_&#1044;&#1080;&#1072;&#1075;&#1085;&#1086;&#1089;&#1090;&#1080;&#1082;&#1072;" TargetMode="External"/><Relationship Id="rId18" Type="http://schemas.openxmlformats.org/officeDocument/2006/relationships/hyperlink" Target="https://library.mededtech.ru/rest/documents/opy_centr2020/" TargetMode="External"/><Relationship Id="rId19" Type="http://schemas.openxmlformats.org/officeDocument/2006/relationships/hyperlink" Target="https://library.mededtech.ru/rest/documents/opy_centr2020/#2_2_&#1053;&#1077;&#1074;&#1088;&#1086;&#1083;&#1086;&#1075;&#1080;&#1095;&#1077;&#1089;&#1082;&#1080;&#1081;_&#1086;&#1089;&#1084;&#1086;&#1090;&#1088;" TargetMode="External"/><Relationship Id="rId20" Type="http://schemas.openxmlformats.org/officeDocument/2006/relationships/hyperlink" Target="https://library.mededtech.ru/rest/documents/metastaticheskoe_porazhenie_golovnogo_mo_42/#list_item_i7le9" TargetMode="External"/><Relationship Id="rId21" Type="http://schemas.openxmlformats.org/officeDocument/2006/relationships/hyperlink" Target="https://library.mededtech.ru/rest/documents/metastaticheskoe_porazhenie_golovnogo_mo_42/#paragraph_agpl8" TargetMode="External"/><Relationship Id="rId22" Type="http://schemas.openxmlformats.org/officeDocument/2006/relationships/hyperlink" Target="https://library.mededtech.ru/rest/documents/opy_centr2020/#paragraph_up1t3f" TargetMode="External"/><Relationship Id="rId23" Type="http://schemas.openxmlformats.org/officeDocument/2006/relationships/hyperlink" Target="https://library.mededtech.ru/rest/documents/2018-16_16/#paragraph_a1r5q" TargetMode="External"/><Relationship Id="rId24" Type="http://schemas.openxmlformats.org/officeDocument/2006/relationships/hyperlink" Target="https://library.mededtech.ru/rest/documents/2018-16_16/#tab2" TargetMode="External"/><Relationship Id="rId25" Type="http://schemas.openxmlformats.org/officeDocument/2006/relationships/hyperlink" Target="https://library.mededtech.ru/rest/documents/2018-16_16/#paragraph_2suia" TargetMode="External"/><Relationship Id="rId26" Type="http://schemas.openxmlformats.org/officeDocument/2006/relationships/hyperlink" Target="https://library.mededtech.ru/rest/documents/opy_centr2020/#paragraph_v5h3vt" TargetMode="External"/><Relationship Id="rId27" Type="http://schemas.openxmlformats.org/officeDocument/2006/relationships/hyperlink" Target="https://library.mededtech.ru/rest/documents/2018-36_3/" TargetMode="External"/><Relationship Id="rId28" Type="http://schemas.openxmlformats.org/officeDocument/2006/relationships/hyperlink" Target="https://library.mededtech.ru/rest/documents/2018-36_3/#list_item_ic5e9h" TargetMode="External"/><Relationship Id="rId29" Type="http://schemas.openxmlformats.org/officeDocument/2006/relationships/hyperlink" Target="https://library.mededtech.ru/rest/documents/2018-36_3/#paragraph_mcfbo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